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aoeeu"/>
        <w:widowControl/>
        <w:rPr>
          <w:lang w:val="it-IT"/>
        </w:rPr>
      </w:pPr>
      <w:r>
        <w:rPr>
          <w:lang w:val="it-IT"/>
        </w:rPr>
      </w:r>
    </w:p>
    <w:tbl>
      <w:tblPr>
        <w:tblW w:w="2943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smallCaps/>
                <w:spacing w:val="40"/>
                <w:sz w:val="22"/>
                <w:lang w:val="it-IT"/>
              </w:rPr>
            </w:pPr>
            <w:r>
              <w:rPr>
                <w:smallCaps/>
                <w:spacing w:val="40"/>
                <w:sz w:val="28"/>
                <w:lang w:val="it-IT"/>
              </w:rPr>
              <w:t>Formato europeo per il curriculum vitae</w:t>
            </w:r>
          </w:p>
          <w:p>
            <w:pPr>
              <w:pStyle w:val="Aaoeeu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  <w:p>
            <w:pPr>
              <w:pStyle w:val="Aaoeeu"/>
              <w:jc w:val="right"/>
              <w:rPr>
                <w:sz w:val="18"/>
                <w:lang w:val="it-IT"/>
              </w:rPr>
            </w:pPr>
            <w:r>
              <w:rPr/>
              <w:drawing>
                <wp:inline distT="0" distB="0" distL="0" distR="0">
                  <wp:extent cx="358140" cy="24892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2943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smallCaps/>
                <w:sz w:val="28"/>
                <w:lang w:val="it-IT"/>
              </w:rPr>
            </w:pPr>
            <w:r>
              <w:rPr>
                <w:smallCaps/>
                <w:sz w:val="28"/>
                <w:lang w:val="it-IT"/>
              </w:rPr>
              <w:t>Informazioni personali</w:t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b w:val="false"/>
                <w:b w:val="false"/>
                <w:sz w:val="24"/>
                <w:lang w:val="it-IT"/>
              </w:rPr>
            </w:pPr>
            <w:r>
              <w:rPr>
                <w:b w:val="false"/>
                <w:sz w:val="22"/>
                <w:lang w:val="it-IT"/>
              </w:rPr>
              <w:t>Nome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40" w:after="4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8"/>
                <w:lang w:val="it-IT"/>
              </w:rPr>
            </w:pPr>
            <w:r>
              <w:rPr>
                <w:b/>
                <w:smallCaps/>
                <w:sz w:val="28"/>
                <w:lang w:val="it-IT"/>
              </w:rPr>
              <w:t>Ciucci  Annalisa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b w:val="false"/>
                <w:b w:val="false"/>
                <w:sz w:val="24"/>
                <w:lang w:val="it-IT"/>
              </w:rPr>
            </w:pPr>
            <w:r>
              <w:rPr>
                <w:b w:val="false"/>
                <w:sz w:val="22"/>
                <w:lang w:val="it-IT"/>
              </w:rPr>
              <w:t>Indirizzo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40" w:after="4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8"/>
                <w:lang w:val="it-IT"/>
              </w:rPr>
            </w:pPr>
            <w:r>
              <w:rPr>
                <w:b/>
                <w:smallCaps/>
                <w:sz w:val="28"/>
                <w:lang w:val="it-IT"/>
              </w:rPr>
              <w:t xml:space="preserve"> </w:t>
            </w:r>
            <w:r>
              <w:rPr>
                <w:b/>
                <w:smallCaps/>
                <w:sz w:val="28"/>
                <w:lang w:val="it-IT"/>
              </w:rPr>
              <w:t>Perugia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b w:val="false"/>
                <w:b w:val="false"/>
                <w:sz w:val="24"/>
                <w:lang w:val="it-IT"/>
              </w:rPr>
            </w:pPr>
            <w:r>
              <w:rPr>
                <w:b w:val="false"/>
                <w:sz w:val="22"/>
                <w:lang w:val="it-IT"/>
              </w:rPr>
              <w:t>Telefono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40" w:after="4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/>
                <w:sz w:val="28"/>
                <w:lang w:val="it-IT"/>
              </w:rPr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b w:val="false"/>
                <w:b w:val="false"/>
                <w:sz w:val="24"/>
                <w:lang w:val="it-IT"/>
              </w:rPr>
            </w:pPr>
            <w:r>
              <w:rPr>
                <w:b w:val="false"/>
                <w:sz w:val="22"/>
                <w:lang w:val="it-IT"/>
              </w:rPr>
              <w:t>Fax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40" w:after="4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/>
                <w:sz w:val="28"/>
                <w:lang w:val="it-IT"/>
              </w:rPr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b w:val="false"/>
                <w:b w:val="false"/>
                <w:sz w:val="24"/>
                <w:lang w:val="it-IT"/>
              </w:rPr>
            </w:pPr>
            <w:r>
              <w:rPr>
                <w:b w:val="false"/>
                <w:sz w:val="22"/>
                <w:lang w:val="it-IT"/>
              </w:rPr>
              <w:t>E-mail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40" w:after="4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annalisa.ciucci@uslumbria1.it</w:t>
            </w:r>
          </w:p>
        </w:tc>
      </w:tr>
    </w:tbl>
    <w:p>
      <w:pPr>
        <w:pStyle w:val="Aaoeeu"/>
        <w:widowControl/>
        <w:spacing w:before="120" w:after="0"/>
        <w:rPr>
          <w:sz w:val="18"/>
          <w:lang w:val="it-IT"/>
        </w:rPr>
      </w:pPr>
      <w:r>
        <w:rPr>
          <w:sz w:val="18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b w:val="false"/>
                <w:b w:val="false"/>
                <w:sz w:val="22"/>
                <w:lang w:val="it-IT"/>
              </w:rPr>
            </w:pPr>
            <w:r>
              <w:rPr>
                <w:b w:val="false"/>
                <w:sz w:val="22"/>
                <w:lang w:val="it-IT"/>
              </w:rPr>
              <w:t>Nazionalità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Italiana</w:t>
            </w:r>
          </w:p>
        </w:tc>
      </w:tr>
    </w:tbl>
    <w:p>
      <w:pPr>
        <w:pStyle w:val="Aaoeeu"/>
        <w:widowControl/>
        <w:spacing w:before="20" w:after="20"/>
        <w:rPr>
          <w:sz w:val="12"/>
          <w:lang w:val="it-IT"/>
        </w:rPr>
      </w:pPr>
      <w:r>
        <w:rPr>
          <w:sz w:val="1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b w:val="false"/>
                <w:sz w:val="22"/>
                <w:lang w:val="it-IT"/>
              </w:rPr>
              <w:t>Data di nascita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05/09/1957</w:t>
            </w:r>
          </w:p>
        </w:tc>
      </w:tr>
    </w:tbl>
    <w:p>
      <w:pPr>
        <w:pStyle w:val="Aaoeeu"/>
        <w:widowControl/>
        <w:spacing w:before="20" w:after="20"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2943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smallCaps/>
                <w:sz w:val="28"/>
                <w:lang w:val="it-IT"/>
              </w:rPr>
            </w:pPr>
            <w:r>
              <w:rPr>
                <w:smallCaps/>
                <w:sz w:val="28"/>
                <w:lang w:val="it-IT"/>
              </w:rPr>
              <w:t>Esperienza lavorativa</w:t>
            </w:r>
          </w:p>
        </w:tc>
      </w:tr>
    </w:tbl>
    <w:p>
      <w:pPr>
        <w:pStyle w:val="Aaoeeu"/>
        <w:widowControl/>
        <w:jc w:val="both"/>
        <w:rPr>
          <w:sz w:val="22"/>
          <w:lang w:val="it-IT"/>
        </w:rPr>
      </w:pPr>
      <w:r>
        <w:rPr>
          <w:b/>
          <w:sz w:val="22"/>
          <w:lang w:val="it-IT"/>
        </w:rPr>
        <w:tab/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i w:val="false"/>
                <w:i w:val="false"/>
                <w:sz w:val="20"/>
                <w:lang w:val="it-IT"/>
              </w:rPr>
            </w:pPr>
            <w:r>
              <w:rPr>
                <w:i w:val="false"/>
                <w:sz w:val="20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mallCaps/>
                <w:sz w:val="22"/>
                <w:lang w:val="it-IT"/>
              </w:rPr>
            </w:pPr>
            <w:r>
              <w:rPr>
                <w:i w:val="false"/>
                <w:smallCaps/>
                <w:sz w:val="22"/>
                <w:lang w:val="it-IT"/>
              </w:rPr>
              <w:t>SETTEMBRE 2009- AD OGGI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Dirigente Medico I livello presso il Servizio di Senologia presso il Poliambulatorio Europa Perugia</w:t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i w:val="false"/>
                <w:sz w:val="22"/>
                <w:lang w:val="it-IT"/>
              </w:rPr>
              <w:t>Responsabile F.F. U.O.S.D. Servizi Territoriali  e Senologia da gennaio 2019.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FEBBRAIO 2002 – SETTEMBRE 2009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Dirigente medico I livello presso servizio di Senologia Via XIV Settembre 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SETTEMBRE 2001-FEBBRAIO 2002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Medico Specialista Ambulatoriale presso Servizio di Senologia Via XIV Settembre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1998 – SETTEMBRE 2001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Medico Specialista Ambulatoriale presso il servizio di Radiologia del Poliambulatorio Piazzale Europa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SETTEMBRE 1989- 1998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Medico Specialista Ambulatoriale presso il Servizio di Radiologia del Poliambulatorio di Via del Campanile di Foligno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 xml:space="preserve">Servizio di Radiologia Ospedale di Spello e Nocera Umbra 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GENNAIO 1988- SETTEMBRE 1989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Attività di medico specialista in Radiodiagnostica in sostituzione degli Specialisti Ambulatoriali nei servizi di Radiologia del Poliambulatorio di Piazzale Europa a Perugia, nel Poliambulatorio di Via del Campanile a Foligno e nell’ospedale di Nocera Umbra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Come medico Specialista Ambulatoriale competenze nel settore della Diagnostica per Immagini, in particolare Radiologia tradizionale ed esami contrastografici ( digerente con doppio mezzo di contrasto, clisma a doppio mezzo di contrasto, urografia)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 xml:space="preserve">Dall’entrata nel Servizio di Senologia, l’attività lavorativa è rivolta esclusivamente alla Diagnostica Senologica. 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 xml:space="preserve"> 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i w:val="false"/>
                <w:i w:val="false"/>
                <w:sz w:val="20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Valle Umbra Sud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USL  Umbria 2      USL  UMBRIA 1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0"/>
                <w:lang w:val="it-IT"/>
              </w:rPr>
            </w:pPr>
            <w:r>
              <w:rPr>
                <w:i w:val="false"/>
                <w:sz w:val="20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i w:val="false"/>
                <w:i w:val="false"/>
                <w:sz w:val="20"/>
                <w:lang w:val="it-IT"/>
              </w:rPr>
            </w:pPr>
            <w:r>
              <w:rPr>
                <w:i w:val="false"/>
                <w:sz w:val="20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2943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jc w:val="left"/>
              <w:rPr>
                <w:smallCaps/>
                <w:sz w:val="28"/>
                <w:lang w:val="it-IT"/>
              </w:rPr>
            </w:pPr>
            <w:r>
              <w:rPr>
                <w:smallCaps/>
                <w:sz w:val="28"/>
                <w:lang w:val="it-IT"/>
              </w:rPr>
              <w:t>Istruzione e formazione</w:t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Dicembre 1987  Specializzazione in Radiodiagnostica- Università degli Studi di Perugia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Luglio 1983  Laurea in Medicina e Chirurgia – Università deli Studi di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Luglio 1976  Diploma di maturità classica –Liceo Classico F.Frezzi –Foligno  (Pg)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center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 xml:space="preserve"> 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tabs>
                <w:tab w:val="left" w:pos="300" w:leader="none"/>
                <w:tab w:val="right" w:pos="2727" w:leader="none"/>
              </w:tabs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Corsi di formazione e convegni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 xml:space="preserve">Nel corso dell’attività lavorativa ha partecipato a numerosi eventi formativi 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Qui di seguito sono elencati i principali attinenti all’attività svolta attualmente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Si allega situazione crediti relativa a corsi di aggiornamento e formazione svolti sulla piattaforma online FNOM CEO.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i w:val="false"/>
                <w:sz w:val="22"/>
                <w:lang w:val="it-IT"/>
              </w:rPr>
              <w:t>Anno 2019</w:t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i w:val="false"/>
                <w:sz w:val="22"/>
                <w:lang w:val="it-IT"/>
              </w:rPr>
              <w:t>06-07 giugno Breast Unit: Best-Practice- Terni</w:t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i w:val="false"/>
                <w:sz w:val="22"/>
                <w:lang w:val="it-IT"/>
              </w:rPr>
              <w:t xml:space="preserve">09 novembre “Attualità in tema di contraccezione e menopausa”- Perugia 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Anno 2018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31 maggio – 1 giugno Convegno Nazionale Gisma Roma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17-18  maggio  Nuove conoscenze nel tumore della mammella  Terni</w:t>
            </w:r>
            <w:bookmarkStart w:id="0" w:name="OLE_LINK7"/>
            <w:bookmarkStart w:id="1" w:name="OLE_LINK6"/>
            <w:bookmarkStart w:id="2" w:name="OLE_LINK5"/>
            <w:bookmarkStart w:id="3" w:name="OLE_LINK4"/>
            <w:bookmarkEnd w:id="0"/>
            <w:bookmarkEnd w:id="1"/>
            <w:bookmarkEnd w:id="2"/>
            <w:bookmarkEnd w:id="3"/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i w:val="false"/>
                <w:sz w:val="22"/>
                <w:lang w:val="it-IT"/>
              </w:rPr>
              <w:t>Anno 2017</w:t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i w:val="false"/>
                <w:sz w:val="22"/>
                <w:lang w:val="it-IT"/>
              </w:rPr>
              <w:t>25-26 maggio Convegno Nazionale Gisma  Verona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Anno 2016</w:t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i w:val="false"/>
                <w:sz w:val="22"/>
                <w:lang w:val="it-IT"/>
              </w:rPr>
              <w:t>03  dicembre  Ruolo del volontariato nella Breast Unit 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Anno 2015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28 settembre  Vecchi e nuovi screening nel piano regionale di prevenzione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04-06 novembre  Attualità in Senologia    Firenze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14 febbraio  Diagnostica per immagini nella pratica clinica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28 gennaio  XIII convegno osservatorio nazionale Screening  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Anno 2014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21-22 ottobre  Il nuovo in Senologia: Tomosintesi e dintorni   Sorrento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Anno 2012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11 settembre  Convegno nazionale GISMA     Bologna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Anno 2011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09 settembre  Il cancro di Intervallo- esperienza italiana e ipotesi di lavoro    Verona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25 ottobre  Utilizzo del sistema Ris-Pacs: analisi e criticità di sviluppo delle nuove implementazioni 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18 novembre La mammella tra fisiologia, prevenzione e patologia 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Anno 2010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27 novembre Workshop mammografico. Microcalcificazioni e distorsioni parenchimali   Foligno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13-27 aprile  tecniche di studio convenzionali in diagnostica per immagini: revisioni delle prassi per una maggiore appropriatezza e uniformità    Perugia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04 marzo stato dell’arte del sistema Ris-Pacs. Competenze e responsabilità dei medici radiologi  Perugia</w:t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/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bookmarkStart w:id="4" w:name="OLE_LINK10"/>
            <w:bookmarkStart w:id="5" w:name="OLE_LINK9"/>
            <w:bookmarkStart w:id="6" w:name="OLE_LINK8"/>
            <w:r>
              <w:rPr>
                <w:i w:val="false"/>
                <w:sz w:val="22"/>
                <w:lang w:val="it-IT"/>
              </w:rPr>
              <w:t>Anno 2009</w:t>
            </w:r>
            <w:bookmarkEnd w:id="4"/>
            <w:bookmarkEnd w:id="5"/>
            <w:bookmarkEnd w:id="6"/>
          </w:p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  <w:t>22 gennaio   Corso di perfezionamento in screening mammografico per medici     29 febbraio   radiologi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19 marzo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Anno 2007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23 novembre  Determinazione di HER2 /neu  nel carcinoma della mammella: lo stato dell’arte     Torgiano (Pg)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21 marzo  screening oncologici aziendali: lo stato dell’arte convegno nazionale per MMG    Assisi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20 marzo   Screening oncologici aziendali: lo stato dell’arte. Convegno regionale per operatori dello screening    Foligno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Anno 2006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29-30 settembre  corso itinerante di senologia interventistica        Pisa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Anno 2005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24-25 febbraio  corso itinerante di Senologia     Perugia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Anno 2003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09-11 settembre corso di formazione di radioprotezione    Perugia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left" w:pos="3210" w:leader="none"/>
              </w:tabs>
              <w:rPr/>
            </w:pPr>
            <w:r>
              <w:rPr>
                <w:sz w:val="22"/>
              </w:rPr>
              <w:t>Anno 2000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25-26 ottobre  teleradiologia tra teoria e pratica medica      Perugia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09 ottobre     mammografia digitale: aspetti fisici e clinici        Ancona 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bookmarkStart w:id="7" w:name="OLE_LINK16"/>
            <w:bookmarkStart w:id="8" w:name="OLE_LINK15"/>
            <w:bookmarkStart w:id="9" w:name="OLE_LINK14"/>
            <w:bookmarkStart w:id="10" w:name="OLE_LINK13"/>
            <w:r>
              <w:rPr>
                <w:sz w:val="22"/>
              </w:rPr>
              <w:t>Anno</w:t>
            </w:r>
            <w:bookmarkEnd w:id="7"/>
            <w:bookmarkEnd w:id="8"/>
            <w:bookmarkEnd w:id="9"/>
            <w:bookmarkEnd w:id="10"/>
            <w:r>
              <w:rPr>
                <w:sz w:val="22"/>
              </w:rPr>
              <w:t xml:space="preserve"> 2001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15-19 ottobre  tirocinio in mammografia diagnostica e di screening, ecografia e 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Stereotassi               Firenze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>26 ottobre    procedure bioptiche in senologia. Opinioni a confronto Città di Castello</w:t>
            </w:r>
          </w:p>
          <w:p>
            <w:pPr>
              <w:pStyle w:val="Normal"/>
              <w:tabs>
                <w:tab w:val="left" w:pos="3210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22 maggio    corso di formazione in materia di protezione dalle radiazioni per    Il personale medico-chirurgico addetto all’esercizio professionale  Specialistico della radiodiagnostica     Perugia                                                                                                               </w:t>
            </w:r>
          </w:p>
          <w:tbl>
            <w:tblPr>
              <w:tblW w:w="722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7229"/>
            </w:tblGrid>
            <w:tr>
              <w:trPr/>
              <w:tc>
                <w:tcPr>
                  <w:tcW w:w="7229" w:type="dxa"/>
                  <w:tcBorders/>
                  <w:shd w:fill="auto" w:val="clear"/>
                </w:tcPr>
                <w:p>
                  <w:pPr>
                    <w:pStyle w:val="Eaoaeaa"/>
                    <w:widowControl/>
                    <w:spacing w:before="20" w:after="20"/>
                    <w:rPr/>
                  </w:pPr>
                  <w:r>
                    <w:rPr>
                      <w:sz w:val="22"/>
                      <w:lang w:val="it-IT"/>
                    </w:rPr>
                    <w:t>Anno</w:t>
                  </w:r>
                  <w:r>
                    <w:rPr>
                      <w:smallCaps/>
                      <w:sz w:val="22"/>
                      <w:lang w:val="it-IT"/>
                    </w:rPr>
                    <w:t xml:space="preserve"> 1997</w:t>
                  </w:r>
                </w:p>
                <w:p>
                  <w:pPr>
                    <w:pStyle w:val="Normal"/>
                    <w:rPr>
                      <w:sz w:val="28"/>
                      <w:szCs w:val="24"/>
                    </w:rPr>
                  </w:pPr>
                  <w:r>
                    <w:rPr>
                      <w:sz w:val="22"/>
                    </w:rPr>
                    <w:t>18 gennaio   Corso di base di RM    Roma</w:t>
                  </w:r>
                </w:p>
                <w:p>
                  <w:pPr>
                    <w:pStyle w:val="Eaoaeaa"/>
                    <w:widowControl/>
                    <w:spacing w:before="20" w:after="20"/>
                    <w:rPr>
                      <w:smallCaps/>
                      <w:sz w:val="22"/>
                      <w:lang w:val="it-IT"/>
                    </w:rPr>
                  </w:pPr>
                  <w:r>
                    <w:rPr>
                      <w:smallCaps/>
                      <w:sz w:val="22"/>
                      <w:lang w:val="it-IT"/>
                    </w:rPr>
                  </w:r>
                </w:p>
                <w:p>
                  <w:pPr>
                    <w:pStyle w:val="Eaoaeaa"/>
                    <w:widowControl/>
                    <w:spacing w:before="20" w:after="20"/>
                    <w:rPr>
                      <w:smallCaps/>
                      <w:sz w:val="22"/>
                      <w:lang w:val="it-IT"/>
                    </w:rPr>
                  </w:pPr>
                  <w:r>
                    <w:rPr>
                      <w:sz w:val="22"/>
                    </w:rPr>
                    <w:t>Anno</w:t>
                  </w:r>
                  <w:r>
                    <w:rPr>
                      <w:smallCaps/>
                      <w:sz w:val="22"/>
                      <w:lang w:val="it-IT"/>
                    </w:rPr>
                    <w:t xml:space="preserve"> 1996</w:t>
                  </w:r>
                </w:p>
                <w:p>
                  <w:pPr>
                    <w:pStyle w:val="Normal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15-19  aprile  corso di mammografia e diagnostica senologica  </w:t>
                  </w:r>
                </w:p>
                <w:p>
                  <w:pPr>
                    <w:pStyle w:val="Normal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Orta San Giulio (NO)</w:t>
                  </w:r>
                </w:p>
                <w:p>
                  <w:pPr>
                    <w:pStyle w:val="Eaoaeaa"/>
                    <w:widowControl/>
                    <w:spacing w:before="20" w:after="20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</w:r>
                </w:p>
              </w:tc>
            </w:tr>
          </w:tbl>
          <w:p>
            <w:pPr>
              <w:pStyle w:val="OiaeaeiYiio2"/>
              <w:widowControl/>
              <w:spacing w:before="20" w:after="2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i w:val="false"/>
                <w:sz w:val="22"/>
                <w:lang w:val="it-IT"/>
              </w:rPr>
            </w:r>
          </w:p>
        </w:tc>
      </w:tr>
    </w:tbl>
    <w:p>
      <w:pPr>
        <w:pStyle w:val="Normal"/>
        <w:rPr>
          <w:sz w:val="22"/>
        </w:rPr>
      </w:pPr>
      <w:r>
        <w:br w:type="page"/>
      </w:r>
      <w:r>
        <w:rPr>
          <w:sz w:val="22"/>
        </w:rPr>
        <w:t>MADRELINGUA                            ITALIANO</w:t>
      </w:r>
    </w:p>
    <w:tbl>
      <w:tblPr>
        <w:tblW w:w="2943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b w:val="false"/>
                <w:b w:val="false"/>
                <w:smallCaps/>
                <w:sz w:val="28"/>
                <w:lang w:val="it-IT"/>
              </w:rPr>
            </w:pPr>
            <w:r>
              <w:rPr>
                <w:b w:val="false"/>
                <w:smallCaps/>
                <w:sz w:val="28"/>
                <w:lang w:val="it-IT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  <w:t>ALTRA LINGUA                            INGLESE</w:t>
      </w:r>
    </w:p>
    <w:p>
      <w:pPr>
        <w:pStyle w:val="Aaoeeu"/>
        <w:spacing w:before="20" w:after="20"/>
        <w:rPr>
          <w:sz w:val="12"/>
          <w:lang w:val="it-IT"/>
        </w:rPr>
      </w:pPr>
      <w:r>
        <w:rPr>
          <w:sz w:val="1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tabs>
                <w:tab w:val="left" w:pos="-1418" w:leader="none"/>
              </w:tabs>
              <w:spacing w:before="20" w:after="20"/>
              <w:ind w:right="33" w:hanging="0"/>
              <w:rPr>
                <w:b/>
                <w:b/>
                <w:i w:val="false"/>
                <w:i w:val="false"/>
                <w:sz w:val="22"/>
                <w:lang w:val="it-IT"/>
              </w:rPr>
            </w:pPr>
            <w:r>
              <w:rPr>
                <w:b/>
                <w:i w:val="false"/>
                <w:sz w:val="22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b/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tabs>
                <w:tab w:val="left" w:pos="-1418" w:leader="none"/>
              </w:tabs>
              <w:spacing w:before="20" w:after="20"/>
              <w:ind w:right="33" w:hanging="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b/>
                <w:i w:val="false"/>
                <w:sz w:val="22"/>
                <w:lang w:val="it-IT"/>
              </w:rPr>
              <w:t xml:space="preserve">            </w:t>
            </w:r>
            <w:r>
              <w:rPr>
                <w:i w:val="false"/>
                <w:sz w:val="22"/>
                <w:lang w:val="it-IT"/>
              </w:rPr>
              <w:t>Capacità di lettura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eccellente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spacing w:before="20" w:after="20"/>
              <w:ind w:right="33" w:hanging="0"/>
              <w:jc w:val="left"/>
              <w:rPr>
                <w:i w:val="false"/>
                <w:i w:val="false"/>
                <w:sz w:val="22"/>
                <w:lang w:val="it-IT"/>
              </w:rPr>
            </w:pPr>
            <w:r>
              <w:rPr>
                <w:b/>
                <w:i w:val="false"/>
                <w:sz w:val="22"/>
                <w:lang w:val="it-IT"/>
              </w:rPr>
              <w:t xml:space="preserve">            </w:t>
            </w:r>
            <w:r>
              <w:rPr>
                <w:i w:val="false"/>
                <w:sz w:val="22"/>
                <w:lang w:val="it-IT"/>
              </w:rPr>
              <w:t>Capacità di scrittura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ECCELLENTE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tabs>
                <w:tab w:val="left" w:pos="-1418" w:leader="none"/>
              </w:tabs>
              <w:spacing w:before="20" w:after="20"/>
              <w:ind w:right="33" w:hanging="0"/>
              <w:jc w:val="center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           </w:t>
            </w:r>
            <w:r>
              <w:rPr>
                <w:sz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BUONA</w:t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smallCaps/>
                <w:sz w:val="24"/>
                <w:lang w:val="it-IT"/>
              </w:rPr>
            </w:pPr>
            <w:r>
              <w:rPr>
                <w:smallCaps/>
                <w:sz w:val="28"/>
                <w:lang w:val="it-IT"/>
              </w:rPr>
              <w:t>Capacità e competenze relazionali</w:t>
            </w:r>
          </w:p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i/>
                <w:i/>
                <w:smallCaps/>
                <w:lang w:val="it-IT"/>
              </w:rPr>
            </w:pPr>
            <w:r>
              <w:rPr>
                <w:i/>
                <w:lang w:val="it-IT"/>
              </w:rPr>
              <w:t>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Serietà nello svolgere l’attività lavorativa, promuovendo la collaborazione  con i Colleghi e con tutto il personale del Servizio.</w:t>
            </w:r>
          </w:p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2"/>
              </w:rPr>
              <w:t>Sensibile alle richieste dell’utenza sia da un punto di vista strettamente professionale che umano</w:t>
            </w:r>
          </w:p>
          <w:p>
            <w:pPr>
              <w:pStyle w:val="Eaoaeaa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sz w:val="18"/>
                <w:lang w:val="it-IT"/>
              </w:rPr>
            </w:pPr>
            <w:r>
              <w:rPr>
                <w:smallCaps/>
                <w:sz w:val="28"/>
                <w:lang w:val="it-IT"/>
              </w:rPr>
              <w:t xml:space="preserve">Capacità e competenze organizzative </w:t>
            </w:r>
            <w:r>
              <w:rPr>
                <w:sz w:val="18"/>
                <w:lang w:val="it-IT"/>
              </w:rPr>
              <w:t xml:space="preserve"> </w:t>
            </w:r>
          </w:p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smallCaps/>
                <w:sz w:val="24"/>
                <w:lang w:val="it-IT"/>
              </w:rPr>
            </w:pPr>
            <w:r>
              <w:rPr>
                <w:smallCaps/>
                <w:sz w:val="24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Capace di gestire responsabilmente l’attività del Servizio nel momento in cui questo sia stato richiesto con particolare attenzione al lavoro da svolgere, nel rispetto di tempi e programmi</w:t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smallCaps/>
                <w:sz w:val="24"/>
                <w:lang w:val="it-IT"/>
              </w:rPr>
            </w:pPr>
            <w:r>
              <w:rPr>
                <w:smallCaps/>
                <w:sz w:val="28"/>
                <w:lang w:val="it-IT"/>
              </w:rPr>
              <w:t>Capacità e competenze tecniche</w:t>
            </w:r>
          </w:p>
          <w:p>
            <w:pPr>
              <w:pStyle w:val="Aeeaoaeaa1"/>
              <w:widowControl/>
              <w:spacing w:before="20" w:after="20"/>
              <w:rPr>
                <w:b w:val="false"/>
                <w:b w:val="false"/>
                <w:smallCaps/>
                <w:sz w:val="22"/>
                <w:lang w:val="it-IT"/>
              </w:rPr>
            </w:pPr>
            <w:r>
              <w:rPr>
                <w:b w:val="false"/>
                <w:smallCaps/>
                <w:sz w:val="22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Esperienza quasi ventennale nell’attività di Senologia Ambulatoriale: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esame clinico, Ecografia, diagnostica mammografica.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Esperienza nell’attività di interventistica senologica.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Attività di  Screening Mammografico di primo e secondo livello con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attualmente il maggior numero di letture annuali di esami screening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nell’ambito della USL1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smallCaps/>
                <w:sz w:val="28"/>
                <w:lang w:val="it-IT"/>
              </w:rPr>
            </w:pPr>
            <w:r>
              <w:rPr>
                <w:smallCaps/>
                <w:sz w:val="28"/>
                <w:lang w:val="it-IT"/>
              </w:rPr>
              <w:t>Altre capacità e competenze</w:t>
            </w:r>
          </w:p>
          <w:p>
            <w:pPr>
              <w:pStyle w:val="Aaoeeu"/>
              <w:ind w:right="33" w:hanging="0"/>
              <w:rPr>
                <w:smallCaps/>
                <w:sz w:val="28"/>
                <w:lang w:val="it-IT"/>
              </w:rPr>
            </w:pPr>
            <w:r>
              <w:rPr>
                <w:smallCaps/>
                <w:sz w:val="28"/>
                <w:lang w:val="it-IT"/>
              </w:rPr>
              <w:t>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Capacità nell’uso del sistema operativo Window e dei programmi Office</w:t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smallCaps/>
                <w:sz w:val="24"/>
                <w:lang w:val="it-IT"/>
              </w:rPr>
            </w:pPr>
            <w:r>
              <w:rPr>
                <w:smallCaps/>
                <w:sz w:val="24"/>
                <w:lang w:val="it-IT"/>
              </w:rPr>
            </w:r>
          </w:p>
          <w:p>
            <w:pPr>
              <w:pStyle w:val="Aeeaoaeaa1"/>
              <w:widowControl/>
              <w:spacing w:before="20" w:after="20"/>
              <w:rPr>
                <w:smallCaps/>
                <w:sz w:val="22"/>
                <w:lang w:val="it-IT"/>
              </w:rPr>
            </w:pPr>
            <w:r>
              <w:rPr>
                <w:b w:val="false"/>
                <w:i/>
                <w:lang w:val="it-IT"/>
              </w:rPr>
              <w:t>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jc w:val="left"/>
              <w:rPr>
                <w:b w:val="false"/>
                <w:b w:val="false"/>
                <w:sz w:val="28"/>
                <w:lang w:val="it-IT"/>
              </w:rPr>
            </w:pPr>
            <w:r>
              <w:rPr>
                <w:b w:val="false"/>
                <w:smallCaps/>
                <w:sz w:val="28"/>
                <w:lang w:val="it-IT"/>
              </w:rPr>
              <w:t xml:space="preserve"> </w:t>
            </w:r>
            <w:r>
              <w:rPr>
                <w:b w:val="false"/>
                <w:smallCaps/>
                <w:sz w:val="28"/>
                <w:lang w:val="it-IT"/>
              </w:rPr>
              <w:t>Patente o patenti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Patente categoria B</w:t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jc w:val="center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</w:tr>
    </w:tbl>
    <w:p>
      <w:pPr>
        <w:pStyle w:val="Aaoeeu"/>
        <w:widowControl/>
        <w:spacing w:before="20" w:after="20"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Aaoeeu"/>
        <w:widowControl/>
        <w:spacing w:before="20" w:after="20"/>
        <w:rPr>
          <w:sz w:val="18"/>
          <w:lang w:val="it-IT"/>
        </w:rPr>
      </w:pPr>
      <w:r>
        <w:rPr>
          <w:sz w:val="18"/>
          <w:lang w:val="it-IT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</w:tr>
    </w:tbl>
    <w:p>
      <w:pPr>
        <w:pStyle w:val="Aaoeeu"/>
        <w:widowControl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851" w:right="1797" w:header="0" w:top="851" w:footer="454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22" w:type="dxa"/>
      <w:jc w:val="left"/>
      <w:tblInd w:w="0" w:type="dxa"/>
      <w:tblBorders/>
      <w:tblCellMar>
        <w:top w:w="0" w:type="dxa"/>
        <w:left w:w="115" w:type="dxa"/>
        <w:bottom w:w="0" w:type="dxa"/>
        <w:right w:w="108" w:type="dxa"/>
      </w:tblCellMar>
      <w:tblLook w:val="0000"/>
    </w:tblPr>
    <w:tblGrid>
      <w:gridCol w:w="2942"/>
      <w:gridCol w:w="285"/>
      <w:gridCol w:w="6095"/>
    </w:tblGrid>
    <w:tr>
      <w:trPr/>
      <w:tc>
        <w:tcPr>
          <w:tcW w:w="2942" w:type="dxa"/>
          <w:tcBorders/>
          <w:shd w:fill="auto" w:val="clear"/>
        </w:tcPr>
        <w:p>
          <w:pPr>
            <w:pStyle w:val="Aaoeeu"/>
            <w:widowControl/>
            <w:tabs>
              <w:tab w:val="left" w:pos="3261" w:leader="none"/>
            </w:tabs>
            <w:jc w:val="right"/>
            <w:rPr>
              <w:rFonts w:ascii="Arial Narrow" w:hAnsi="Arial Narrow"/>
              <w:i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6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635</wp:posOffset>
                    </wp:positionV>
                    <wp:extent cx="15875" cy="146050"/>
                    <wp:effectExtent l="0" t="0" r="0" b="0"/>
                    <wp:wrapSquare wrapText="largest"/>
                    <wp:docPr id="2" name="Cornice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20" cy="1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Pidipagina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Cornice1" stroked="f" style="position:absolute;margin-left:0pt;margin-top:0.05pt;width:1.15pt;height:11.4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85" w:type="dxa"/>
          <w:tcBorders/>
          <w:shd w:fill="auto" w:val="clear"/>
        </w:tcPr>
        <w:p>
          <w:pPr>
            <w:pStyle w:val="Aaoeeu"/>
            <w:widowControl/>
            <w:tabs>
              <w:tab w:val="left" w:pos="3261" w:leader="none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</w:r>
        </w:p>
      </w:tc>
      <w:tc>
        <w:tcPr>
          <w:tcW w:w="6095" w:type="dxa"/>
          <w:tcBorders/>
          <w:shd w:fill="auto" w:val="clear"/>
        </w:tcPr>
        <w:p>
          <w:pPr>
            <w:pStyle w:val="Aaoeeu"/>
            <w:widowControl/>
            <w:tabs>
              <w:tab w:val="left" w:pos="3261" w:leader="none"/>
            </w:tabs>
            <w:rPr>
              <w:rFonts w:ascii="Arial Narrow" w:hAnsi="Arial Narrow"/>
              <w:i w:val="false"/>
              <w:i w:val="false"/>
              <w:lang w:val="it-IT"/>
            </w:rPr>
          </w:pPr>
          <w:r>
            <w:rPr>
              <w:rFonts w:ascii="Arial Narrow" w:hAnsi="Arial Narrow"/>
              <w:i w:val="false"/>
              <w:lang w:val="it-IT"/>
            </w:rPr>
          </w:r>
        </w:p>
      </w:tc>
    </w:tr>
  </w:tbl>
  <w:p>
    <w:pPr>
      <w:pStyle w:val="Aaoeeu"/>
      <w:widowControl/>
      <w:tabs>
        <w:tab w:val="left" w:pos="3261" w:leader="none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settings.xml><?xml version="1.0" encoding="utf-8"?>
<w:settings xmlns:w="http://schemas.openxmlformats.org/wordprocessingml/2006/main">
  <w:zoom w:percent="8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ef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ko-KR" w:bidi="ar-SA"/>
    </w:rPr>
  </w:style>
  <w:style w:type="paragraph" w:styleId="Titolo2">
    <w:name w:val="Heading 2"/>
    <w:basedOn w:val="Normal"/>
    <w:link w:val="Titolo2Carattere"/>
    <w:uiPriority w:val="9"/>
    <w:unhideWhenUsed/>
    <w:qFormat/>
    <w:rsid w:val="00aa107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qFormat/>
    <w:rsid w:val="006c6e2f"/>
    <w:rPr>
      <w:rFonts w:ascii="Times New Roman" w:hAnsi="Times New Roman" w:eastAsia="Times New Roman" w:cs="Times New Roman"/>
      <w:sz w:val="20"/>
      <w:szCs w:val="20"/>
      <w:lang w:val="it-IT" w:eastAsia="ko-KR"/>
    </w:rPr>
  </w:style>
  <w:style w:type="character" w:styleId="Pagenumber">
    <w:name w:val="page number"/>
    <w:basedOn w:val="DefaultParagraphFont"/>
    <w:qFormat/>
    <w:rsid w:val="006c6e2f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c6e2f"/>
    <w:rPr>
      <w:rFonts w:ascii="Tahoma" w:hAnsi="Tahoma" w:eastAsia="Times New Roman" w:cs="Tahoma"/>
      <w:sz w:val="16"/>
      <w:szCs w:val="16"/>
      <w:lang w:val="it-IT" w:eastAsia="ko-KR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aa1072"/>
    <w:rPr>
      <w:rFonts w:ascii="Cambria" w:hAnsi="Cambria" w:eastAsia="Times New Roman" w:cs="Times New Roman"/>
      <w:b/>
      <w:bCs/>
      <w:i/>
      <w:iCs/>
      <w:sz w:val="28"/>
      <w:szCs w:val="28"/>
      <w:lang w:eastAsia="ko-KR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Aaoeeu" w:customStyle="1">
    <w:name w:val="Aaoeeu"/>
    <w:qFormat/>
    <w:rsid w:val="006c6e2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ko-KR" w:bidi="ar-SA"/>
    </w:rPr>
  </w:style>
  <w:style w:type="paragraph" w:styleId="Aeeaoaeaa1" w:customStyle="1">
    <w:name w:val="A?eeaoae?aa 1"/>
    <w:basedOn w:val="Aaoeeu"/>
    <w:next w:val="Aaoeeu"/>
    <w:qFormat/>
    <w:rsid w:val="006c6e2f"/>
    <w:pPr>
      <w:keepNext w:val="true"/>
      <w:jc w:val="right"/>
    </w:pPr>
    <w:rPr>
      <w:b/>
    </w:rPr>
  </w:style>
  <w:style w:type="paragraph" w:styleId="Aeeaoaeaa2" w:customStyle="1">
    <w:name w:val="A?eeaoae?aa 2"/>
    <w:basedOn w:val="Aaoeeu"/>
    <w:next w:val="Aaoeeu"/>
    <w:qFormat/>
    <w:rsid w:val="006c6e2f"/>
    <w:pPr>
      <w:keepNext w:val="true"/>
      <w:jc w:val="right"/>
    </w:pPr>
    <w:rPr>
      <w:i/>
    </w:rPr>
  </w:style>
  <w:style w:type="paragraph" w:styleId="Eaoaeaa" w:customStyle="1">
    <w:name w:val="Eaoae?aa"/>
    <w:basedOn w:val="Aaoeeu"/>
    <w:qFormat/>
    <w:rsid w:val="006c6e2f"/>
    <w:pPr>
      <w:tabs>
        <w:tab w:val="center" w:pos="4153" w:leader="none"/>
        <w:tab w:val="right" w:pos="8306" w:leader="none"/>
      </w:tabs>
    </w:pPr>
    <w:rPr/>
  </w:style>
  <w:style w:type="paragraph" w:styleId="OiaeaeiYiio2" w:customStyle="1">
    <w:name w:val="O?ia eaeiYiio 2"/>
    <w:basedOn w:val="Aaoeeu"/>
    <w:qFormat/>
    <w:rsid w:val="006c6e2f"/>
    <w:pPr>
      <w:jc w:val="right"/>
    </w:pPr>
    <w:rPr>
      <w:i/>
      <w:sz w:val="16"/>
    </w:rPr>
  </w:style>
  <w:style w:type="paragraph" w:styleId="Pidipagina">
    <w:name w:val="Footer"/>
    <w:basedOn w:val="Normal"/>
    <w:link w:val="PidipaginaCarattere"/>
    <w:rsid w:val="006c6e2f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c6e2f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LibreOffice/6.0.4.2$Windows_X86_64 LibreOffice_project/9b0d9b32d5dcda91d2f1a96dc04c645c450872bf</Application>
  <Pages>4</Pages>
  <Words>850</Words>
  <Characters>5349</Characters>
  <CharactersWithSpaces>6454</CharactersWithSpaces>
  <Paragraphs>128</Paragraphs>
  <Company>Softonic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2018-12-16T19:16:00Z</dcterms:created>
  <dc:creator>Softonic</dc:creator>
  <dc:description/>
  <dc:language>it-IT</dc:language>
  <cp:lastModifiedBy/>
  <dcterms:modified xsi:type="dcterms:W3CDTF">2019-11-22T18:10:10Z</dcterms:modified>
  <cp:revision>5</cp:revision>
  <dc:subject/>
  <dc:title>FORMATO EUROPEO PER IL CURRICULUM VITAE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Softonic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